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release capital requirements during a pandemic Evidence from euro area banks</w:t>
      </w:r>
    </w:p>
    <w:p>
      <w:r>
        <w:t>Author:Cyril CouaillierAlessio ReghezzaCostanza Rodriguez d’AcriAlessandro Scopelliti</w:t>
      </w:r>
    </w:p>
    <w:p>
      <w:r>
        <w:t>Date:2022-09-15</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time.JEL CodeE61 : Macroeconomics and Monetary Economics→Macroeconomic Policy, Macroeconomic Aspects of Public Finance, and General Outlook→Policy Objectives, Policy Designs and Consistency, Policy CoordinationG01 : Financial Economics→General→Financial CrisesG18 : Financial Economics→General Financial Markets→Government Policy and RegulationG21 : Financial Economics→Financial Institutions and Services→Banks, Depository Institutions, Micro Finance Institutions, Mortgages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0~e6f3686548.en.pdf?2982e984581f593be8f316d8ee3147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