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Will the green transition be inflationary Expectations matter</w:t>
      </w:r>
    </w:p>
    <w:p>
      <w:r>
        <w:t>Author:Alessandro FerrariValerio Nispi Landi</w:t>
      </w:r>
    </w:p>
    <w:p>
      <w:r>
        <w:t>Date:2022-09-21</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AbstractWe analyse a gradual increase in the tax on emissions in a simple two-period New Keynesian model with an AS-AD representation. We find that the increase in the tax today exerts inflationary pressures, but the expected further increase in the tax tomorrow depresses current demand, putting downward pressure on prices: we show that the second effect is larger. However, if households do not anticipate a future fall in income (because they are not rational or the government is not credible), the overall effect of the transition may be inflationary in the first period. We extend the analysis in a medium-scale DSGE model and we find again that the green transition is deflationary. Also in this larger model, by relaxing the rational expectations assumption, we show the transition may initially be inflationary.JEL CodeD84 : Microeconomics→Information, Knowledge, and Uncertainty→Expectations, SpeculationsE31 : Macroeconomics and Monetary Economics→Prices, Business Fluctuations, and Cycles→Price Level, Inflation, DeflationQ58 : Agricultural and Natural Resource Economics, Environmental and Ecological Economics→Environmental Economics→Government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26~3e04b5ba5d.en.pdf?386d8edb1e4d64f8181fc025262a64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