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Deflationary financial shocks and inflationary uncertainty shocks an SVAR Investigation</w:t>
      </w:r>
    </w:p>
    <w:p>
      <w:r>
        <w:t>Author:Roberto A. De SantisWouter Van der Veken</w:t>
      </w:r>
    </w:p>
    <w:p>
      <w:r>
        <w:t>Date:2022-09-22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From:ECB-working_paper</w:t>
      </w:r>
    </w:p>
    <w:p>
      <w:r>
        <w:t>AbstractWhat are the economic implications of financial and uncertainty shocks? We show that financial shocks cause a decline in output and goods prices, while uncertainty shocks cause a decline in output and an increase in goods prices. In response to un-certainty shocks, firms increase their markups, in line with the theory of self-insurance against being stuck with too low a price. This explains why goods prices may increase at the onset of a recession and are not accompanied by pronounced deflationary pressures. The two shocks are identified jointly with an approach that is less restrictive than Antolín-Díaz and Rubio-Ramírez’s method.JEL CodeC32 : Mathematical and Quantitative Methods→Multiple or Simultaneous Equation Models, Multiple Variables→Time-Series Models, Dynamic Quantile Regressions, Dynamic Treatment Effect Models, Diffusion ProcessesE32 : Macroeconomics and Monetary Economics→Prices, Business Fluctuations, and Cycles→Business Fluctuations, Cycles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Relationship Id="rId10" Type="http://schemas.openxmlformats.org/officeDocument/2006/relationships/hyperlink" Target="https://www.ecb.europa.eu//pub/pdf/scpwps/ecb.wp2727~a82f405ead.en.pdf?52654ce648d255f6ea6f36f19efbf7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