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anatomy of consumption in a household foreign currency debt crisis</w:t>
      </w:r>
    </w:p>
    <w:p>
      <w:r>
        <w:t>Author:Győző GyöngyösiJudit RarigaEmil Verner</w:t>
      </w:r>
    </w:p>
    <w:p>
      <w:r>
        <w:t>Date:2022-09-27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AbstractHow do households adjust to a large debt shock? This paper studies household responses to a revaluation of foreign currency household debt during a large depreciation in Hungary. Relative to similar local currency debtors, foreign currency debtors reduce consumption expenditures approximately one-for-one with increased debt service, suggesting binding liquidity constraints. Foreign currency debtors reduce both the quantity and quality of expenditures, consistent with nonhomothetic preferences and a “flight from quality.” Debt revaluation has no effect on labor market status, hours, or earnings, but there is a small adjustment toward foreign income streams and a substantial increase in home production.JEL CodeE21 : Macroeconomics and Monetary Economics→Consumption, Saving, Production, Investment, Labor Markets, and Informal Economy→Consumption, Saving, WealthG51 : Financial EconomicsJ20 : Labor and Demographic Economics→Demand and Supply of Labor→General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33~17062c60ab.en.pdf?f8618b042babef1eb8e6fcfda7d6ec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