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the Financial System Safer and Fairer</w:t>
      </w:r>
    </w:p>
    <w:p>
      <w:r>
        <w:t>Author:Vice Chair for Supervision Michael S. Barr</w:t>
      </w:r>
    </w:p>
    <w:p>
      <w:r>
        <w:t>Date:2022-09-07</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b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b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b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br/>
        <w:t>Capital</w:t>
        <w:br/>
        <w:b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b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b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b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b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br/>
        <w:t>Resolution</w:t>
        <w:br/>
        <w:b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b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br/>
        <w:t>Bank Merger Policy Review</w:t>
        <w:br/>
        <w:b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br/>
        <w:t>Stablecoins as Private Money</w:t>
        <w:br/>
        <w:b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br/>
        <w:t>Financial Risks from Climate Change</w:t>
        <w:br/>
        <w:b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br/>
        <w:t>Innovation, Access, and Consumer Protection</w:t>
        <w:br/>
        <w:b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b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b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b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b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br/>
        <w:t>Community Reinvestment</w:t>
        <w:br/>
        <w:b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b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br/>
        <w:br/>
        <w:t>1. I am grateful to Laura Lipscomb of the Federal Reserve Board for her assistance in preparing this text. The views expressed here are my own and do not necessarily reflect those of the Federal Reserve Board or the Federal Open Market Committee. Return to text</w:t>
        <w:b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br/>
        <w:t>3. The relevant statutes with respect to proposed acquisitions include the Bank Holding Company Act (BHCA), Bank Merger Act (BMA), Dodd-Frank Act, and the Home Owners' Loan Act. Return to text</w:t>
        <w:br/>
        <w:t>4. The Board must take into consideration the convenience and needs of the community to be served by the resulting institution. See 12 U.S.C. § 1842(c)(2), 1828(c)(5)(B), and 1467a(e)(2). Return to text</w:t>
        <w:b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br/>
        <w:t>5. See the President's Working Group on Financial Markets, Federal Deposit Insurance Corporation, and Office of the Comptroller of the Currency, Report on Stablecoins (PDF) (Washington: PWG, FDIC, and OCC, November 2021). Return to text</w:t>
        <w:br/>
        <w:t>6. See Michael S. Barr, No Slack: The Financial Lives of Low-Income Americans (Washington: Brookings Press, 2012). Return to text</w:t>
        <w:b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br/>
        <w:t>8. United States v. Meta Platforms, Inc., No. 1:22-cv-05187 (S.D. New York, June 21, 2022). Return to text</w:t>
        <w:br/>
        <w:t>9. "What is the Community Reinvestment Act (CRA)?" Board of Governors, last modified August 24, 2022.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 Id="rId10" Type="http://schemas.openxmlformats.org/officeDocument/2006/relationships/hyperlink" Target="https://www.federalreserve.gov/newsevents/speech/files/barr2022090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