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Investing in Infants The Lasting Effects of Cash Transfers to New Families</w:t>
      </w:r>
    </w:p>
    <w:p>
      <w:r>
        <w:t>Author:Andrew C. Barr, Jonathan Eggleston, Alexander A. Smith</w:t>
      </w:r>
    </w:p>
    <w:p>
      <w:r>
        <w:t>Date:2022-08-01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From:NEBR-working_paper</w:t>
      </w:r>
    </w:p>
    <w:p>
      <w:r>
        <w:t>We provide new evidence that cash transfers following the birth of a first child can have large and long-lasting effects on that child’s outcomes. We take advantage of the January 1 birthdate cutoff for U.S. child-related tax benefits, which results in families of otherwise similar children receiving substantially different refunds during the first year of life. For the average low-income single-child family in our sample this difference amounts to roughly $1,300, or 10 percent of income. Using the universe of administrative federal tax data in selected years, we show that this transfer in infancy increases young adult earnings by at least 1 to 2 percent, with larger effects for males. These effects show up at earlier ages in terms of improved math and reading test scores and a higher likelihood of high school graduation. The observed effects on shorter-run parental outcomes suggest that additional liquidity during the critical window following the birth of a first child leads to persistent increases in family income that likely contribute to the downstream effects on children’s outcomes. The longer-term effects on child earnings alone are large enough that the transfer pays for itself through subsequent increases in federal income tax revenue.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373" TargetMode="External"/><Relationship Id="rId10" Type="http://schemas.openxmlformats.org/officeDocument/2006/relationships/hyperlink" Target="https://www.nber.org/system/files/working_papers/w30373/w3037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