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Non-Tariff Barriers in the U.S.-China Trade War</w:t>
      </w:r>
    </w:p>
    <w:p>
      <w:r>
        <w:t>Author:Tuo Chen, Chang-Tai Hsieh, Zheng Michael Song</w:t>
      </w:r>
    </w:p>
    <w:p>
      <w:r>
        <w:t>Date:2022-08-01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From:NEBR-working_paper</w:t>
      </w:r>
    </w:p>
    <w:p>
      <w:r>
        <w:t>We use Chinese customs data to show that unofficial non-tariff barriers were responsible for 50\% of the overall reduction in Chinese imports from the U.S. during the height of the U.S.-China trade war in 2018 and 2019.  We infer non-tariff barriers from the change in imports of U.S. products relative to imports from other countries of the same HS-6 product, after controlling for the change in the relative price of U.S. imports to the same product sold by other countries.  These barriers were imposed on a small number of agricultural products, did not apply to state-owned importers, and were larger for products where the share of state importers in total imports of the U.S. product was large.  Non-tariff barriers were responsible for more than 90\% of the welfare cost to Chinese consumers of the U.S.-China trade war.  The welfare loss to China of a given reduction in imports from the U.S. from non-tariff barriers is about six times larger than an equivalent import decline due to higher tariffs.  Non-tariff barriers are more costly compared to tariffs because they applied to some importers and not others, which results in misallocation, and because non-tariff barriers do not generate revenues.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318" TargetMode="External"/><Relationship Id="rId10" Type="http://schemas.openxmlformats.org/officeDocument/2006/relationships/hyperlink" Target="https://www.nber.org/system/files/working_papers/w30318/w303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