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Assessing School District Decision-Making Evidence from the COVID-19 Pandemic</w:t>
      </w:r>
    </w:p>
    <w:p>
      <w:r>
        <w:t>Author:Alvin Christian, Brian Jacob, John D. Singleton</w:t>
      </w:r>
    </w:p>
    <w:p>
      <w:r>
        <w:t>Date:2022-09-01</w:t>
      </w:r>
    </w:p>
    <w:p>
      <w:r>
        <w:t>Keyword:NA</w:t>
      </w:r>
    </w:p>
    <w:p>
      <w:r>
        <w:t>Url:</w:t>
      </w:r>
      <w:hyperlink r:id="rId9">
        <w:r>
          <w:rPr>
            <w:color w:val="FF8822"/>
            <w:u w:val="none"/>
          </w:rPr>
          <w:t>click here</w:t>
        </w:r>
      </w:hyperlink>
    </w:p>
    <w:p>
      <w:r>
        <w:t>Attachment:</w:t>
      </w:r>
      <w:hyperlink r:id="rId10">
        <w:r>
          <w:rPr>
            <w:color w:val="FF8822"/>
            <w:u w:val="none"/>
          </w:rPr>
          <w:t>click here</w:t>
        </w:r>
      </w:hyperlink>
    </w:p>
    <w:p>
      <w:r>
        <w:t>From:NEBR-working_paper</w:t>
      </w:r>
    </w:p>
    <w:p>
      <w:r>
        <w:t>The COVID-19 pandemic drew new attention to the role of school boards in the U.S. In this paper, we examine school districts’ choices of learning modality—whether and when to offer in-person, virtual, or hybrid instruction—over the course of the 2020-21 pandemic school year. The analysis takes advantage of granular weekly data on learning mode and COVID-19 cases for Ohio school districts. We show that districts respond on the margin to health risks: all else equal, a marginal increase in new cases reduces the probability that a district offers in-person instruction the next week. Moreover, this negative response is magnified when the district was in-person the prior week and attenuates in magnitude over the school year. These findings are consistent with districts learning from experience about the effect of in-person learning on disease transmission in schools. We also find evidence that districts are influenced by the decisions of their peers.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20" TargetMode="External"/><Relationship Id="rId10" Type="http://schemas.openxmlformats.org/officeDocument/2006/relationships/hyperlink" Target="https://www.nber.org/system/files/working_papers/w30520/w3052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