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Monetary policy past, present and future</w:t>
      </w:r>
    </w:p>
    <w:p>
      <w:r>
        <w:t>Author:Claudio Borio</w:t>
      </w:r>
    </w:p>
    <w:p>
      <w:r>
        <w:t>Date:2022-09-08</w:t>
      </w:r>
    </w:p>
    <w:p>
      <w:r>
        <w:t>Keyword:NA</w:t>
      </w:r>
    </w:p>
    <w:p>
      <w:r>
        <w:t>Attachment:</w:t>
      </w:r>
      <w:hyperlink r:id="rId9">
        <w:r>
          <w:rPr>
            <w:color w:val="0000FF"/>
            <w:u w:val="single"/>
          </w:rPr>
          <w:t>Link</w:t>
        </w:r>
      </w:hyperlink>
    </w:p>
    <w:p>
      <w:r>
        <w:t>From:</w:t>
      </w:r>
      <w:hyperlink r:id="rId10">
        <w:r>
          <w:rPr>
            <w:color w:val="0000FF"/>
            <w:u w:val="single"/>
          </w:rPr>
          <w:t>BIS-speech</w:t>
        </w:r>
      </w:hyperlink>
    </w:p>
    <w:p>
      <w:pPr>
        <w:pStyle w:val="cn"/>
        <w:ind w:firstLine="200"/>
      </w:pPr>
      <w:r>
        <w:t>货币政策在过去40年中面临的挑战、现在面临的挑战以及未来可能面临的挑战，只有一条主线贯穿其中：这就是商业周期不断变化的性质。20世纪80年代初至中期，经济周期的性质发生了变化，衰退从通货膨胀引发的衰退演变为金融周期引发的衰退。可以说，政策制度的深刻转变有助于解释这种变化——金融自由化、实体经济全球化以及建立以短期价格稳定为重点的可信的反通货膨胀制度。现在，政策制定者们面临着一个前所未有的组合：紧缩货币以抑制通货膨胀，再加上金融脆弱性，尤其是以历史高额债务的形式出现的经济衰退风险。展望未来，随着一些深层次的力量再次改变方向，环境在结构上可能会变得更加通胀。无论如何，货币政策制度与经济环境之间的相互作用在为下一个挑战奠定基础方面发挥了关键作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speeches/sp220908.pdf" TargetMode="External"/><Relationship Id="rId10" Type="http://schemas.openxmlformats.org/officeDocument/2006/relationships/hyperlink" Target="https://www.bis.org/speeches/sp22090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