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Building portfolios of sovereign securities with decreasing carbon footprints</w:t>
      </w:r>
    </w:p>
    <w:p>
      <w:r>
        <w:t>Author:Gong Cheng, Eric Jondeau, Benoit Mojon</w:t>
      </w:r>
    </w:p>
    <w:p>
      <w:r>
        <w:t>Date:2022-09-01</w:t>
      </w:r>
    </w:p>
    <w:p>
      <w:r>
        <w:t>Keyword:sovereign debt, portfolio rebalancing, tracking error, carbon footprints, active share, portfolio optimisation, Green Finance</w:t>
      </w:r>
    </w:p>
    <w:p>
      <w:r>
        <w:t>Attachment:</w:t>
      </w:r>
      <w:hyperlink r:id="rId9">
        <w:r>
          <w:rPr>
            <w:color w:val="0000FF"/>
            <w:u w:val="single"/>
          </w:rPr>
          <w:t>Link</w:t>
        </w:r>
      </w:hyperlink>
    </w:p>
    <w:p>
      <w:r>
        <w:t>From:</w:t>
      </w:r>
      <w:hyperlink r:id="rId10">
        <w:r>
          <w:rPr>
            <w:color w:val="0000FF"/>
            <w:u w:val="single"/>
          </w:rPr>
          <w:t>BIS-working_paper</w:t>
        </w:r>
      </w:hyperlink>
    </w:p>
    <w:p>
      <w:pPr>
        <w:pStyle w:val="cn"/>
        <w:ind w:firstLine="200"/>
      </w:pPr>
      <w:r>
        <w:t>总结</w:t>
        <w:br/>
        <w:t>集中</w:t>
        <w:br/>
        <w:t>我们建议制定一项战略，建立一个“净零”主权证券投资组合，以逐步减少碳足迹。被动投资者可以将其作为一个新的基准，与《巴黎气候协议》保持一致，同时将投资组合的财务特征尽可能接近正常的基准。</w:t>
        <w:br/>
        <w:t>捐款</w:t>
        <w:br/>
        <w:t>我们的研究是率先提出主权证券投资组合脱碳战略的研究之一。鉴于对净零投资组合财务绩效的影响有限，它易于实施，适合被动投资者。然而，这是一个强有力的工具，可以鼓励主权国家政府继续履行其在《巴黎气候协议》中的承诺，因为在投资组合重新平衡后，相对于照常经营的基准，主权发行人的权重可能会发生较大变化。</w:t>
        <w:br/>
        <w:t>调查结果</w:t>
        <w:br/>
        <w:t>我们的战略奖励那些为降低其管辖范围内经济活动的碳强度（以人均国内总排放量衡量）做出更大努力的主权发行人。我们建议的净零投资组合可以在2014年至2019年期间将碳强度降低41%，而不会影响投资组合的财务业绩。碳强度的降低是通过向碳排放量较低的国家分配更高的权重来实现的。在发达经济体中，投资组合再平衡增加了法国、意大利和西班牙的份额，同时减少了美国的份额。在新兴市场经济体中，智利、菲律宾和罗马尼亚的权重将以中国为代价增加。即使净零投资组合中国家权重的变化受到限制，该投资组合仍可以实现碳强度累计减少30%，远高于正常基准（14%）。</w:t>
        <w:br/>
        <w:t>摘要</w:t>
        <w:br/>
        <w:t>我们建议制定一项战略，建立碳足迹逐步下降的主权证券投资组合。被动投资者可以将其作为新的巴黎一致性基准，构建“净零”（NZ）投资组合，同时密切跟踪“一切照旧”（BAU）基准的风险调整回报。我们的战略奖励那些在降低碳强度（以人均国内排放总量衡量）方面做出更大努力的主权发行人。2014年至2019年，新西兰投资组合将通过向碳排放量较低的国家分配更高的权重，将碳强度降低41%。在发达经济体中，再平衡导致法国、意大利和西班牙在投资组合中的份额增加，而美国的份额减少。在新兴市场经济体中，这导致智利、菲律宾和罗马尼亚的份额更高，而中国的份额则有所下降。重要的是，新西兰投资组合保持了与BAU基准相同的信用度，而不会带来更高的外汇风险。</w:t>
        <w:br/>
        <w:t>JEL分类：G11、G24、Q56</w:t>
        <w:br/>
        <w:t>关键词：碳足迹、主权债务、投资组合再平衡、投资组合优化、活跃份额、跟踪误差</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bis.org/publ/work1038.pdf" TargetMode="External"/><Relationship Id="rId10" Type="http://schemas.openxmlformats.org/officeDocument/2006/relationships/hyperlink" Target="https://www.bis.org/publ/work1038.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