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欧洲议会经济和货币事务委员会听证会</w:t>
      </w:r>
    </w:p>
    <w:p>
      <w:pPr>
        <w:pStyle w:val="cn"/>
        <w:jc w:val="center"/>
      </w:pPr>
      <w:r>
        <w:t>作者:Christine Lagarde</w:t>
      </w:r>
    </w:p>
    <w:p>
      <w:pPr>
        <w:pStyle w:val="cn"/>
        <w:ind w:firstLine="420"/>
        <w:jc w:val="left"/>
      </w:pPr>
      <w:r>
        <w:t>很高兴回到布鲁塞尔与你一起参加今年的第三次听证会。</w:t>
      </w:r>
    </w:p>
    <w:p>
      <w:pPr>
        <w:pStyle w:val="cn"/>
        <w:ind w:firstLine="420"/>
        <w:jc w:val="left"/>
      </w:pPr>
      <w:r>
        <w:t>俄罗斯对乌克兰的无理侵略战争继续给欧洲蒙上阴影。我对乌克兰人民在战争中遭受无谓暴行深表同情。</w:t>
      </w:r>
    </w:p>
    <w:p>
      <w:pPr>
        <w:pStyle w:val="cn"/>
        <w:ind w:firstLine="420"/>
        <w:jc w:val="left"/>
      </w:pPr>
      <w:r>
        <w:t>自6月我们上次会晤以来，欧元区的经济后果继续显现，前景正在变暗。</w:t>
      </w:r>
    </w:p>
    <w:p>
      <w:pPr>
        <w:pStyle w:val="cn"/>
        <w:ind w:firstLine="420"/>
        <w:jc w:val="left"/>
      </w:pPr>
      <w:r>
        <w:t>通货膨胀率仍然太高，很可能会在很长一段时间内高于我们的目标。因此，在本月早些时候的会议上，理事会采取了重大步骤，从目前高度宽松的政策利率水平过渡到能够确保通货膨胀及时恢复到2%中期目标的水平。</w:t>
      </w:r>
    </w:p>
    <w:p>
      <w:pPr>
        <w:pStyle w:val="cn"/>
        <w:ind w:firstLine="420"/>
        <w:jc w:val="left"/>
      </w:pPr>
      <w:r>
        <w:t>根据本次听证会的主题，我将向您简要介绍经济前景，然后更详细地解释我们最近的货币政策决定。</w:t>
      </w:r>
    </w:p>
    <w:p>
      <w:pPr>
        <w:pStyle w:val="cn"/>
        <w:jc w:val="left"/>
      </w:pPr>
      <w:r>
        <w:rPr>
          <w:b/>
        </w:rPr>
        <w:t>欧元区经济前景</w:t>
      </w:r>
    </w:p>
    <w:p>
      <w:pPr>
        <w:pStyle w:val="cn"/>
        <w:ind w:firstLine="420"/>
        <w:jc w:val="left"/>
      </w:pPr>
      <w:r>
        <w:t>2022年第二季度，欧元区经济增长0.8%，主要原因是随着经济重新开放，消费者在服务方面的支出强劲。旅游业规模较大的经济体尤其受益，因为人们在夏季出行较多。仍然强劲的劳动力市场也继续支持经济活动。</w:t>
      </w:r>
    </w:p>
    <w:p>
      <w:pPr>
        <w:pStyle w:val="cn"/>
        <w:ind w:firstLine="420"/>
        <w:jc w:val="left"/>
      </w:pPr>
      <w:r>
        <w:t>尽管如此，我们预计未来几个季度的活动将大幅放缓。这背后有四个主要原因。首先，高通胀正在抑制整个经济的支出和生产，而天然气供应中断加剧了这些逆风。其次，随着经济重新开放，对服务业的强劲需求正在失去动力。第三，在许多主要经济体收紧货币政策的背景下，全球需求减弱，贸易条件恶化将意味着对欧元区经济的支持减少。第四，不确定性仍然很高，这反映在家庭和企业信心的下降。</w:t>
      </w:r>
    </w:p>
    <w:p>
      <w:pPr>
        <w:pStyle w:val="cn"/>
        <w:ind w:firstLine="420"/>
        <w:jc w:val="left"/>
      </w:pPr>
      <w:r>
        <w:t>这些发展导致员工对本年度剩余时间和整个2023年经济增长的最新预测下调。员工现在预计2022年经济增长3.1%，2023年增长0.9%，2024年增长1.9%。</w:t>
      </w:r>
    </w:p>
    <w:p>
      <w:pPr>
        <w:pStyle w:val="cn"/>
        <w:ind w:firstLine="420"/>
        <w:jc w:val="left"/>
      </w:pPr>
      <w:r>
        <w:t>8月份通货膨胀率进一步上升至9.1%。能源和食品价格通胀仍然非常高，是总体通胀的主要因素。价格压力正在更多部门蔓延，部分原因是整个经济体的高能源成本的影响。8月份，通胀篮子中近一半的项目的年通胀率高于4%，潜在通胀指标仍然很高。虽然供应瓶颈一直在缓解，但其通胀影响仍在逐步传导至消费者价格。同样，服务业需求的复苏也给价格带来了上行压力。欧元贬值也加剧了通货膨胀压力的累积。</w:t>
      </w:r>
    </w:p>
    <w:p>
      <w:pPr>
        <w:pStyle w:val="cn"/>
        <w:ind w:firstLine="420"/>
        <w:jc w:val="left"/>
      </w:pPr>
      <w:r>
        <w:t>从劳动力市场来看，迄今为止，工资动态仍然受到抑制。然而，有弹性的劳动力市场和一些弥补通胀上升的追赶措施可能会推动工资增长。</w:t>
      </w:r>
    </w:p>
    <w:p>
      <w:pPr>
        <w:pStyle w:val="cn"/>
        <w:ind w:firstLine="420"/>
        <w:jc w:val="left"/>
      </w:pPr>
      <w:r>
        <w:t>大多数长期通胀预期指标目前都在2%左右。然而，最近一些指标出现了高于目标的修订迹象，需要继续监测。</w:t>
      </w:r>
    </w:p>
    <w:p>
      <w:pPr>
        <w:pStyle w:val="cn"/>
        <w:ind w:firstLine="420"/>
        <w:jc w:val="left"/>
      </w:pPr>
      <w:r>
        <w:t>欧洲央行工作人员的基线通胀预测已大幅上调；预计2022年的年通胀率将为8.1%，2023年为5.5%，2024年为2.3%。</w:t>
      </w:r>
    </w:p>
    <w:p>
      <w:pPr>
        <w:pStyle w:val="cn"/>
        <w:ind w:firstLine="420"/>
        <w:jc w:val="left"/>
      </w:pPr>
      <w:r>
        <w:t>通胀前景的风险主要是上行的，主要反映了能源供应可能进一步严重中断。虽然这些风险因素对增长来说是相同的，但其效果却相反：它们会增加通货膨胀，但会降低增长。</w:t>
      </w:r>
    </w:p>
    <w:p>
      <w:pPr>
        <w:pStyle w:val="cn"/>
        <w:jc w:val="left"/>
      </w:pPr>
      <w:r>
        <w:rPr>
          <w:b/>
        </w:rPr>
        <w:t>欧洲央行的货币政策</w:t>
      </w:r>
    </w:p>
    <w:p>
      <w:pPr>
        <w:pStyle w:val="cn"/>
        <w:ind w:firstLine="420"/>
        <w:jc w:val="left"/>
      </w:pPr>
      <w:r>
        <w:t>基于中期通胀前景，理事会决定在7月宣布的50个基点的基础上，将欧洲央行的三个关键利率上调75个基点。</w:t>
      </w:r>
    </w:p>
    <w:p>
      <w:pPr>
        <w:pStyle w:val="cn"/>
        <w:ind w:firstLine="420"/>
        <w:jc w:val="left"/>
      </w:pPr>
      <w:r>
        <w:t>就目前情况来看，我们预计在接下来的几次会议上进一步提高利率，以抑制需求，并防范通胀预期持续上升的风险。我们将根据收到的信息和不断变化的通货膨胀前景，定期重新评估我们的政策路径。我们未来的政策利率决定将继续依赖于数据，并遵循逐个会议的方法。</w:t>
      </w:r>
    </w:p>
    <w:p>
      <w:pPr>
        <w:pStyle w:val="cn"/>
        <w:ind w:firstLine="420"/>
        <w:jc w:val="left"/>
      </w:pPr>
      <w:r>
        <w:t>按照委员会的要求，我现在简要谈谈不成体系问题。自我们于2021 12月开始走上正常化道路以来，我们已明确表示，如果碎片化风险威胁到整个欧元区货币政策的平稳传导，我们将采取行动。</w:t>
      </w:r>
    </w:p>
    <w:p>
      <w:pPr>
        <w:pStyle w:val="cn"/>
        <w:ind w:firstLine="420"/>
        <w:jc w:val="left"/>
      </w:pPr>
      <w:r>
        <w:t>自2022年7月1日以来，我们一直在灵活地对大流行紧急购买计划组合中到期的赎回进行再投资，以应对与大流行相关的传播机制风险。</w:t>
      </w:r>
    </w:p>
    <w:p>
      <w:pPr>
        <w:pStyle w:val="cn"/>
        <w:ind w:firstLine="420"/>
        <w:jc w:val="left"/>
      </w:pPr>
      <w:r>
        <w:t>7月晚些时候，我们还宣布了一种新的货币政策工具——输电保护工具（TPI），以补充我们现有的工具。该工具旨在应对无理、无序的市场动态，具有足够的灵活性，以应对政策传导面临的严重风险。它将维护我们货币政策的单一性，因为理事会将继续其政策利率正常化道路，帮助我们根据我们的授权确保中期价格稳定。TPI受制于一系列资格标准，理事会将使用这些标准来评估一个司法管辖区是否奉行健全和可持续的财政和宏观经济政策。[1]</w:t>
      </w:r>
    </w:p>
    <w:p>
      <w:pPr>
        <w:pStyle w:val="cn"/>
        <w:jc w:val="left"/>
      </w:pPr>
      <w:r>
        <w:rPr>
          <w:b/>
        </w:rPr>
        <w:t>结论</w:t>
      </w:r>
    </w:p>
    <w:p>
      <w:pPr>
        <w:pStyle w:val="cn"/>
        <w:ind w:firstLine="420"/>
        <w:jc w:val="left"/>
      </w:pPr>
      <w:r>
        <w:t>总而言之，整个欧元区的通货膨胀持续上升，影响到生活各个领域的公民。</w:t>
      </w:r>
    </w:p>
    <w:p>
      <w:pPr>
        <w:pStyle w:val="cn"/>
        <w:ind w:firstLine="420"/>
        <w:jc w:val="left"/>
      </w:pPr>
      <w:r>
        <w:t>最新的欧洲晴雨表显示，近三分之二的公民认为通胀上升是当前最重要的两个问题之一。[2] 更高的能源和食品价格尤其对最脆弱的家庭造成了压力，预计情况会在好转之前变得更糟。</w:t>
      </w:r>
    </w:p>
    <w:p>
      <w:pPr>
        <w:pStyle w:val="cn"/>
        <w:ind w:firstLine="420"/>
        <w:jc w:val="left"/>
      </w:pPr>
      <w:r>
        <w:t>在这种环境下，用于保护这些家庭免受物价上涨影响的财政支持必须是临时的和有针对性的。这限制了助长通货膨胀压力的风险，从而也有助于货币政策确保价格稳定，并有助于保持债务可持续性。</w:t>
      </w:r>
    </w:p>
    <w:p>
      <w:pPr>
        <w:pStyle w:val="cn"/>
        <w:ind w:firstLine="420"/>
        <w:jc w:val="left"/>
      </w:pPr>
      <w:r>
        <w:t>货币政策对欧元区经济的最大贡献是确保中期价格稳定。这意味着确保通胀预期保持稳定，需求状况与我们的目标保持一致。</w:t>
      </w:r>
    </w:p>
    <w:p>
      <w:pPr>
        <w:pStyle w:val="cn"/>
        <w:ind w:firstLine="420"/>
        <w:jc w:val="left"/>
      </w:pPr>
      <w:r>
        <w:t>在我保证向欧洲议会和公众通报我们的进展的同时，让我向大家简要介绍一下我们正在开展的工作，将气候变化考虑因素纳入我们的货币政策运作。[3]</w:t>
      </w:r>
    </w:p>
    <w:p>
      <w:pPr>
        <w:pStyle w:val="cn"/>
        <w:ind w:firstLine="420"/>
        <w:jc w:val="left"/>
      </w:pPr>
      <w:r>
        <w:t>从下周一起，在欧元系统正在进行的再投资购买的背景下，欧元系统将在所有公司债券购买中考虑发行人的气候评分。这将导致气候表现良好的公司购买更多的债券，而气候表现较差的公司购买更少的债券。</w:t>
      </w:r>
    </w:p>
    <w:p>
      <w:pPr>
        <w:pStyle w:val="cn"/>
        <w:ind w:firstLine="420"/>
        <w:jc w:val="left"/>
      </w:pPr>
      <w:r>
        <w:t>这些措施将减少欧元体系面临的与气候相关的金融风险，并根据欧盟的气候中立目标支持经济的绿色转型。</w:t>
      </w:r>
    </w:p>
    <w:p>
      <w:pPr>
        <w:pStyle w:val="cn"/>
        <w:ind w:firstLine="420"/>
        <w:jc w:val="left"/>
      </w:pPr>
      <w:r>
        <w:t>从2023年第一季度起，我们将开始公布公司债券持有量的气候相关信息，并定期报告我们在任务范围内为应对气候变化而采取的措施。</w:t>
      </w:r>
    </w:p>
    <w:p>
      <w:pPr>
        <w:pStyle w:val="cn"/>
        <w:ind w:firstLine="420"/>
        <w:jc w:val="left"/>
      </w:pPr>
      <w:r>
        <w:t>我现在准备回答你的问题。</w:t>
      </w:r>
    </w:p>
    <w:p/>
    <w:p>
      <w:pPr>
        <w:pStyle w:val="cn"/>
        <w:jc w:val="left"/>
      </w:pPr>
      <w:r>
        <w:rPr>
          <w:b/>
        </w:rPr>
        <w:t>原文链接:</w:t>
        <w:br/>
      </w:r>
      <w:hyperlink r:id="rId9">
        <w:r>
          <w:rPr>
            <w:color w:val="0000FF"/>
            <w:u w:val="single"/>
          </w:rPr>
          <w:t>https://www.ecb.europa.eu/press/key/date/2022/html/ecb.sp220926_1~0bd6fcc86c.en.html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0926_1~0bd6fcc86c.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