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新冠肺炎疫情对欧元区潜在产出的影响——部门方法</w:t>
      </w:r>
    </w:p>
    <w:p>
      <w:pPr>
        <w:pStyle w:val="cn"/>
        <w:jc w:val="center"/>
      </w:pPr>
      <w:r>
        <w:t>作者:Nicolò Bandera, Katalin Bodnár, Julien Le Roux, Béla Szörfi</w:t>
      </w:r>
    </w:p>
    <w:p>
      <w:pPr>
        <w:pStyle w:val="cn"/>
        <w:ind w:firstLine="420"/>
        <w:jc w:val="left"/>
      </w:pPr>
      <w:r>
        <w:t>新冠肺炎危机对经济部门的影响非常不均匀，一些部门可能存在永久性损失的风险。本文提出了一种部门层面、自下而上的方法来估计欧元区潜在产出，以评估危机对其的影响。这些估计基于供需冲击分解，旨在定量支持对大流行造成的疤痕效应的估计。结果显示，到2025年，“贸易、运输和住宿”、“其他服务”和“工业”部门的趋势产出可能会损失约1.4-1.6%。2025年的总潜在产出可能会比没有危机的情况下低约0.8%，重要的是，如果没有下一代欧盟（NGEU）的支持，这表明损失比欧盟委员会（考虑了NGEU）2021秋季的预测要大一些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