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发挥负利率对银行成本效率影响的必要性</w:t>
      </w:r>
    </w:p>
    <w:p>
      <w:pPr>
        <w:pStyle w:val="cn"/>
        <w:jc w:val="center"/>
      </w:pPr>
      <w:r>
        <w:t>作者:Giuseppe Avignone, Claudia Girardone, Cosimo Pancaro, Livia Pancotto, Alessio Reghezza</w:t>
      </w:r>
    </w:p>
    <w:p>
      <w:pPr>
        <w:pStyle w:val="cn"/>
        <w:ind w:firstLine="420"/>
        <w:jc w:val="left"/>
      </w:pPr>
      <w:r>
        <w:t>摘要</w:t>
      </w:r>
    </w:p>
    <w:p>
      <w:pPr>
        <w:pStyle w:val="cn"/>
        <w:ind w:firstLine="420"/>
        <w:jc w:val="left"/>
      </w:pPr>
      <w:r>
        <w:t>负利率会影响银行的成本效率吗？我们利用欧元区前所未有的负政策利率，调查银行是否出于必要性，通过调整成本效率来应对负利率。我们发现，受负利率影响最大的银行通过提高成本效率来应对。我们还表明，对于规模较大、利润较低、资产质量较低且在竞争更激烈的银行部门运营的银行，成本效率的提高更为显著。此外，我们记录到，只有在突破零下限（ZLB）时，成本效率的提高才具有统计意义，这表明当政策利率为正时，利率向成本效率的传递是无效的。这些发现具有重要的政策意义，因为它们为负利率对银行效率的有益二阶效应提供了证据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