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移民与欧元区收入和财富的分配首先是事实和对货币政策的影响</w:t>
      </w:r>
    </w:p>
    <w:p>
      <w:pPr>
        <w:pStyle w:val="cn"/>
        <w:jc w:val="center"/>
      </w:pPr>
      <w:r>
        <w:t>作者:Maarten Dossche, Aleksandra Kolndrekaj, Maximilian Propst, Javier Ramos Perez, Jiri Slacalek</w:t>
      </w:r>
    </w:p>
    <w:p>
      <w:pPr>
        <w:pStyle w:val="cn"/>
        <w:ind w:firstLine="420"/>
        <w:jc w:val="left"/>
      </w:pPr>
      <w:r>
        <w:t>我们使用家庭调查来描述在居住国出生的家庭（“本地人”）与在其他欧盟和非欧盟国家出生的家庭的工资、收入、财富和流动资产（“移民”）之间的差异。财富的差异比工资和收入的差异更大：移民的平均工资比本地人低30%左右，净财富少60%左右。对于所有变量，只有一小部分本地人和移民之间的差异（约30%）可以用人口统计学（年龄、性别、婚姻状况、教育、职业、就业部门）的差异来解释。移民更可能受到流动性的限制：虽然大约17%的本地人可以被贴上“手对嘴”的标签（持有价值不到两周收入的流动资产），但在另一个欧盟国家出生的家庭的相应份额为20%，在欧盟以外出生的家庭为29%。移民的就业率对总就业的波动更为敏感。货币政策宽松更有力地刺激了在欧盟以外出生的个人就业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