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Immigrants and the distribution of income and wealth in the euro area first facts and implications for monetary policy</w:t>
      </w:r>
    </w:p>
    <w:p>
      <w:r>
        <w:t>Author:Maarten DosscheAleksandra KolndrekajMaximilian PropstJavier Ramos PerezJiri Slacalek</w:t>
      </w:r>
    </w:p>
    <w:p>
      <w:r>
        <w:t>Date:2022-09-14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摘要我们使用家庭调查来描述在居住国出生的家庭（“本地人”）与在其他欧盟和非欧盟国家出生的家庭在工资、收入、财富和流动资产方面的差异（“移民”）。财富的差异比工资和收入的差异更大：移民的平均工资比本地人低30%左右，净财富比本地人少60%左右。就所有变量而言，只有一小部分本地人和移民之间的差异约为30%，可以用人口统计学差异（年龄、性别、婚姻状况、教育、职业、就业部门）来解释。移民更有可能受到流动性限制：虽然约17%的本地人可以被贴上“手到嘴”的标签（持有价值不到两周收入的流动资产），但在另一个欧盟国家出生的家庭所占比例为20%，在欧盟以外出生的家庭则为29%。移民的就业率对总就业的波动更加敏感。宽松的货币政策更有力地刺激了在欧盟以外出生的个人就业。JEL CodeJ15：劳动与人口经济学→人口经济学→少数民族、种族、原住民和移民经济学，非劳动歧视31：微观经济学→分配→个人收入、财富及其分配E52：宏观经济学和货币经济学→货币政策、中央银行业务、货币和信贷供应→货币政策网络讨论文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19~3b28a33498.en.pdf?3aeb729843b81cf86f4bf2b8cab969db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