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如何在大流行期间释放资本要求来自欧元区银行的证据</w:t>
      </w:r>
    </w:p>
    <w:p>
      <w:pPr>
        <w:pStyle w:val="cn"/>
        <w:jc w:val="center"/>
      </w:pPr>
      <w:r>
        <w:t>作者:Cyril Couaillier, Alessio Reghezza, Costanza Rodriguez d’Acri, Alessandro Scopelliti</w:t>
      </w:r>
    </w:p>
    <w:p>
      <w:pPr>
        <w:pStyle w:val="cn"/>
        <w:ind w:firstLine="420"/>
        <w:jc w:val="left"/>
      </w:pPr>
      <w:r>
        <w:t>本文调查了在新冠肺炎疫情爆发时为支持欧元区银行而采取的资本救济方案的影响。通过利用机密的监管和信用登记数据，我们发现了两个主要发现。首先，资本减免措施支持银行向企业提供信贷的能力。其次，并非所有措施都同样成功。只有在资本减免是永久性的或通过预见长期释放期的既定流程实施时，银行才会调整信贷供应。相比之下，自由裁量救济措施的成效有限，可能是因为其资本补充路径的不确定性。此外，对于资本净空低于要求的银行，要求释放更有效，不会引发额外的风险承担。这些发现为如何在危机时期设计有效的银行资本要求释放提供了关键见解。</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