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release capital requirements during a pandemic Evidence from euro area banks</w:t>
      </w:r>
    </w:p>
    <w:p>
      <w:r>
        <w:t>Author:Cyril CouaillierAlessio ReghezzaCostanza Rodriguez d’AcriAlessandro Scopelliti</w:t>
      </w:r>
    </w:p>
    <w:p>
      <w:r>
        <w:t>Date:2022-09-15</w:t>
      </w:r>
    </w:p>
    <w:p>
      <w:r>
        <w:t>Keyword:NA</w:t>
      </w:r>
    </w:p>
    <w:p>
      <w:r>
        <w:t>Attachment:</w:t>
      </w:r>
      <w:hyperlink r:id="rId9">
        <w:r>
          <w:rPr>
            <w:color w:val="0000FF"/>
            <w:u w:val="single"/>
          </w:rPr>
          <w:t>Link</w:t>
        </w:r>
      </w:hyperlink>
    </w:p>
    <w:p>
      <w:r>
        <w:t>From:</w:t>
      </w:r>
      <w:hyperlink r:id="rId10">
        <w:r>
          <w:rPr>
            <w:color w:val="0000FF"/>
            <w:u w:val="single"/>
          </w:rPr>
          <w:t>ECB-working_paper</w:t>
        </w:r>
      </w:hyperlink>
    </w:p>
    <w:p>
      <w:pPr>
        <w:pStyle w:val="cn"/>
        <w:ind w:firstLine="200"/>
      </w:pPr>
      <w:r>
        <w:t>本文研究了新冠肺炎疫情爆发时，为支持欧元区银行而采取的资本救济方案的影响。通过利用机密的监管和信贷登记数据，我们发现了两个主要发现。首先，资本减免措施支持银行向企业提供信贷的能力。其次，并非所有措施都同样成功。只有当资本减免是永久性的或通过预见到较长释放期的既定程序实施时，银行才调整其信贷供应。相比之下，酌情救济措施的成功率有限，可能是因为其资本补充途径存在不确定性。此外，对于资本净空低于要求的银行来说，释放要求更为有效，不会引发额外的风险承担。这些发现为如何在危机时期设计有效的银行资本要求释放提供了关键见解。JEL CodeE61：宏观经济学和货币经济学→宏观经济政策、公共财政的宏观经济方面和总体展望→政策目标、政策设计和一致性、政策协调G01：金融经济学→全体的→金融危机18：金融经济学→一般金融市场→政府政策和监管21：金融经济学→金融机构和服务→银行、存款机构、小额金融机构、抵押贷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0~e6f3686548.en.pdf?2982e984581f593be8f316d8ee31474e"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