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来自欧盟的金融风险和银行合并微观和宏观证据</w:t>
      </w:r>
    </w:p>
    <w:p>
      <w:pPr>
        <w:pStyle w:val="cn"/>
        <w:jc w:val="center"/>
      </w:pPr>
      <w:r>
        <w:t>作者:Laura Lebastard</w:t>
      </w:r>
    </w:p>
    <w:p>
      <w:pPr>
        <w:pStyle w:val="cn"/>
        <w:ind w:firstLine="420"/>
        <w:jc w:val="left"/>
      </w:pPr>
      <w:r>
        <w:t>本文首次从微观和宏观两个层面研究了欧洲银行业的银行间负债和股票市场（金融风险）以及并购（M&amp;A）之间的联系。本文使用二元逻辑模型，首先从微观层面考察了银行间的金融风险如何影响并购的概率。它发现，金融相互联系显著增加了它们发生的机会。然后，论文使用重力模型，从宏观层面研究微观结果是否成立。金融联系不仅与国家间的并购数量呈正相关，而且比传统上在并购宏观文献中使用的贸易更能预测并购。由于资本市场联盟将有助于实现银行投资组合的地域多元化，因此也将促进跨境并购。最后，本文构建了每对欧盟国家的并购兼容性指数。该研究强调了与核心欧洲高度金融相互联系相关的强劲并购前景，这可能是欧盟未来不对称金融一体化的标志。</w:t>
      </w:r>
    </w:p>
    <w:p/>
    <w:p>
      <w:pPr>
        <w:pStyle w:val="cn"/>
        <w:jc w:val="left"/>
      </w:pPr>
      <w:r>
        <w:rPr>
          <w:b/>
        </w:rPr>
        <w:t>原文链接:</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