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Corrective regulation with imperfect instruments</w:t>
      </w:r>
    </w:p>
    <w:p>
      <w:r>
        <w:t>Author:Eduardo DávilaAnsgar Walther</w:t>
      </w:r>
    </w:p>
    <w:p>
      <w:r>
        <w:t>Date:2022-09-20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本文研究了当某些代理/活动不能得到完美调节时的最优次优纠正调节。我们表明，政策弹性和庇古楔形是足够的统计数据，可以描述监管政策在一大类环境中的边际福利影响。我们证明了政策弹性的子集，即泄漏弹性，决定了最优次优政策，并刻画了放松监管约束的边际值。我们将结果应用于存在不受监管的代理/活动、跨代理/活动的统一监管以及成本高昂的监管的情况。我们用环境外部性、影子银行、行为扭曲、资产替代和减价出售来说明我们在金融监管中的应用结果。JEL CodeH23：公共经济学→税收、补贴和收入→外部性、再分配效应、环境税和补贴Q58：农业和自然资源经济学、环境和生态经济学→环境经济学→政府政策G28：金融经济学→金融机构和服务→政府政策和监管D62：微观经济学→福利经济学→外部网络ECB Lamfalussy奖学金计划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23~515408742d.en.pdf?b4476acd61c6e407292b2f5567efc855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