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绿色转型会导致通货膨胀吗</w:t>
      </w:r>
    </w:p>
    <w:p>
      <w:pPr>
        <w:pStyle w:val="cn"/>
        <w:jc w:val="center"/>
      </w:pPr>
      <w:r>
        <w:t>作者:Alessandro Ferrari, Valerio Nispi Landi</w:t>
      </w:r>
    </w:p>
    <w:p>
      <w:pPr>
        <w:pStyle w:val="cn"/>
        <w:ind w:firstLine="420"/>
        <w:jc w:val="left"/>
      </w:pPr>
      <w:r>
        <w:t>我们分析了一个简单的两阶段新凯恩斯模型中排放税的逐步增加，该模型采用AS-AD表示。我们发现，今天的增税会带来通货膨胀压力，但预计明天的进一步增税会抑制当前需求，给价格带来下行压力：我们表明，第二个影响更大。然而，如果家庭预计未来收入不会下降（因为他们不理性或政府不可信），过渡的总体影响可能会在第一个时期出现通货膨胀。我们在中等规模的DSGE模型中扩展了分析，我们再次发现绿色转型是通货紧缩的。同样，在这个更大的模型中，通过放松理性预期假设，我们表明过渡最初可能是通货膨胀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