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绿色债券的定价驱动因素和绿色市场的动态</w:t>
      </w:r>
    </w:p>
    <w:p>
      <w:pPr>
        <w:pStyle w:val="cn"/>
        <w:jc w:val="center"/>
      </w:pPr>
      <w:r>
        <w:t>作者:Allegra Pietsch, Dilyara Salakhova</w:t>
      </w:r>
    </w:p>
    <w:p>
      <w:pPr>
        <w:pStyle w:val="cn"/>
        <w:ind w:firstLine="420"/>
        <w:jc w:val="left"/>
      </w:pPr>
      <w:r>
        <w:t>近年来，随着人们对气候变化和更广泛的环境问题的日益担忧，绿色债券市场迅速增长。然而，绿色债券是否通过溢价交易为发行人提供了更便宜的资金，即所谓的绿色债券，仍然是一个公开的讨论。本文提供了证据，说明绿色债券的一个关键因素是绿色债券本身或其发行人的信誉。我们将可信的绿色债券定义为经过外部审查的债券。可信的发行人要么是绿色部门的公司，要么是与环境署金融机构签约的银行。另一个重要因素是投资者的需求，因为随着时间的推移，温室在统计和经济上变得更加重要。由于绿色债券市场遵循与ESG/绿色股票和投资基金部门观察到的趋势相似的趋势，这可能是气候担忧加剧的驱动因素。为了进行分析，我们构建了一个数据库，其中包含2016至2021欧元区同一发行人的紧密匹配的绿色和非绿色债券的每日定价数据。然后，我们使用按部门划分的证券持有统计数据（SHSS）来分析投资者对绿色债券的需求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https://www.ecb.europa.eu/pub/research/working-papers/html/papers-2022.include.en.html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