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通货紧缩金融冲击和通货膨胀不确定性冲击——SVAR调查</w:t>
      </w:r>
    </w:p>
    <w:p>
      <w:pPr>
        <w:pStyle w:val="cn"/>
        <w:jc w:val="center"/>
      </w:pPr>
      <w:r>
        <w:t>作者:Roberto A. De Santis, Wouter Van der Veken</w:t>
      </w:r>
    </w:p>
    <w:p>
      <w:pPr>
        <w:pStyle w:val="cn"/>
        <w:ind w:firstLine="420"/>
        <w:jc w:val="left"/>
      </w:pPr>
      <w:r>
        <w:t>金融和不确定性冲击的经济影响是什么？我们表明，金融冲击导致产出和商品价格下降，而不确定性冲击导致产出下降和商品价格上升。为了应对不确定的冲击，公司根据自我保险理论提高加价，以防价格过低。这解释了为什么商品价格可能在衰退开始时上涨，而不会伴随明显的通货紧缩压力。这两种冲击是通过一种比Antolín-Díaz和Rubio Ramírez的方法限制性更小的方法共同确定的。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