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Deflationary financial shocks and inflationary uncertainty shocks an SVAR Investigation</w:t>
      </w:r>
    </w:p>
    <w:p>
      <w:r>
        <w:t>Author:Roberto A. De SantisWouter Van der Veken</w:t>
      </w:r>
    </w:p>
    <w:p>
      <w:r>
        <w:t>Date:2022-09-22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金融和不确定性冲击的经济影响是什么？我们表明，金融冲击导致产出和商品价格下降，而不确定性冲击导致产出下降和商品价格上涨。为了应对不确定性冲击，公司根据自我保险理论，提高了加价幅度，以防价格过低。这解释了为什么商品价格可能在衰退开始时上涨，而不会伴随明显的通货紧缩压力。这两种冲击是通过一种比Antolín-Díaz和Rubio Ramírez的方法限制更少的方法联合识别的。JEL代码C32：数学和定量方法→多个或同时方程模型，多变量→时间序列模型，动态分位数回归，动态处理效应模型，扩散过程E32：宏观经济学和货币经济学→价格、商业波动和周期→业务波动、周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27~a82f405ead.en.pdf?52654ce648d255f6ea6f36f19efbf747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