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欧元区新的最佳货币区指数</w:t>
      </w:r>
    </w:p>
    <w:p>
      <w:pPr>
        <w:pStyle w:val="cn"/>
        <w:jc w:val="center"/>
      </w:pPr>
      <w:r>
        <w:t>作者:Davor Kunovac, Diego Rodriguez Palenzuela, Yiqiao Sun</w:t>
      </w:r>
    </w:p>
    <w:p>
      <w:pPr>
        <w:pStyle w:val="cn"/>
        <w:ind w:firstLine="420"/>
        <w:jc w:val="left"/>
      </w:pPr>
      <w:r>
        <w:t>我们提出了一个新的、时变的欧元区最佳货币区（OCA）指数，用于从国际商业周期的角度评估货币联盟OCA属性的演变。它是从对称冲击与非对称冲击的相对重要性推导而来的，对称冲击是由符号和零限制的开放经济结构向量自回归（VAR）模型产生的。我们认为，当共同对称冲击的相对重要性很高，但同时又不会在欧元区成员国之间过度分散时，从OCA经验性质的角度来看，欧元区更为合适。我们发现，对称冲击一直是欧元区国家商业周期的主要驱动因素。然而，我们的OCA指数表明，欧元区成员国之间的周期性趋同不是一个稳定的过程，因为它往往会受到危机的干扰，尤其是那些主要不是由共同外部冲击引发的危机。危机发生后，OCA指数开始恢复，恢复到危机前的水平。我们的OCA指数运行缓慢，很好地反映了整个欧元区基础经济结构的变化，因此，它提供了货币政策在中期稳定欧元区经济的能力的信息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