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均衡汇率估计的提振进位</w:t>
      </w:r>
    </w:p>
    <w:p>
      <w:pPr>
        <w:pStyle w:val="cn"/>
        <w:jc w:val="center"/>
      </w:pPr>
      <w:r>
        <w:t>作者:Michał Rubaszek, Joscha Beckmann, Michele Ca' Zorzi, Marek Kwas</w:t>
      </w:r>
    </w:p>
    <w:p>
      <w:pPr>
        <w:pStyle w:val="cn"/>
        <w:ind w:firstLine="420"/>
        <w:jc w:val="left"/>
      </w:pPr>
      <w:r>
        <w:t>我们基于汇率缓慢收敛至均衡的范式构建货币组合，以突出三个结果。首先，可以利用这一特性来构建盈利的投资组合。其次，短期趋同的缓慢步伐与有利可图的套利交易策略的证据相一致，即以低收益货币借贷和投资高收益货币的普遍做法。第三，均衡汇率的预测能力可能会提高套利交易策略的绩效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