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Boosting carry with equilibrium exchange rate estimates</w:t>
      </w:r>
    </w:p>
    <w:p>
      <w:r>
        <w:t>Author:Michał RubaszekJoscha BeckmannMichele Ca' ZorziMarek Kwas</w:t>
      </w:r>
    </w:p>
    <w:p>
      <w:r>
        <w:t>Date:2022-09-26</w:t>
      </w:r>
    </w:p>
    <w:p>
      <w:r>
        <w:t>Keyword:NA</w:t>
      </w:r>
    </w:p>
    <w:p>
      <w:r>
        <w:t>Attachment:</w:t>
      </w:r>
      <w:hyperlink r:id="rId9">
        <w:r>
          <w:rPr>
            <w:color w:val="0000FF"/>
            <w:u w:val="single"/>
          </w:rPr>
          <w:t>Link</w:t>
        </w:r>
      </w:hyperlink>
    </w:p>
    <w:p>
      <w:r>
        <w:t>From:</w:t>
      </w:r>
      <w:hyperlink r:id="rId10">
        <w:r>
          <w:rPr>
            <w:color w:val="0000FF"/>
            <w:u w:val="single"/>
          </w:rPr>
          <w:t>ECB-working_paper</w:t>
        </w:r>
      </w:hyperlink>
    </w:p>
    <w:p>
      <w:pPr>
        <w:pStyle w:val="cn"/>
        <w:ind w:firstLine="200"/>
      </w:pPr>
      <w:r>
        <w:t>我们建立货币投资组合的基础是汇率缓慢收敛到均衡状态，以突出三个结果。首先，可以利用这一特性建立盈利的投资组合。第二，短期内趋同速度缓慢，这与有利可图的套利交易策略的证据相一致，即以低收益货币借款和投资高收益货币的常见做法。第三，均衡汇率的预测能力可能会提升套利交易策略的绩效。JEL Code F31：国际经济学→国际金融→外汇G12：金融经济学→一般金融市场→资产定价、交易量、债券利率G15：金融经济学→一般金融市场→国际金融市场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ecb.europa.eu//pub/pdf/scpwps/ecb.wp2731~4db9534c80.en.pdf?0045757da25b1a849524c685d346d145" TargetMode="External"/><Relationship Id="rId10" Type="http://schemas.openxmlformats.org/officeDocument/2006/relationships/hyperlink" Target="https://www.ecb.europa.eu/pub/research/working-papers/html/papers-2022.include.e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