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家庭外币债务危机中的消费剖析</w:t>
      </w:r>
    </w:p>
    <w:p>
      <w:pPr>
        <w:pStyle w:val="cn"/>
        <w:jc w:val="center"/>
      </w:pPr>
      <w:r>
        <w:t>作者:Győző Gyöngyösi, Judit Rariga, Emil Verner</w:t>
      </w:r>
    </w:p>
    <w:p>
      <w:pPr>
        <w:pStyle w:val="cn"/>
        <w:ind w:firstLine="420"/>
        <w:jc w:val="left"/>
      </w:pPr>
      <w:r>
        <w:t>家庭如何适应大规模债务冲击？本文研究了匈牙利大幅贬值期间家庭对外币家庭债务重估的反应。与类似的本币债务人相比，外币债务人通过增加偿债能力，将消费支出减少约一比一，这表明流动性受到约束。外币债务人减少了支出的数量和质量，这与非同质偏好和“质量逃逸”相一致。债务重估对劳动力市场状况、工时或收入没有影响，但对外国收入流进行了小幅调整，国内生产大幅增加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