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脱欧，自脱欧公投以来脱欧欧元区投资组合对英国的敞口</w:t>
      </w:r>
    </w:p>
    <w:p>
      <w:pPr>
        <w:pStyle w:val="cn"/>
        <w:jc w:val="center"/>
      </w:pPr>
      <w:r>
        <w:t>作者:Daniel Carvalho, Martin Schmitz</w:t>
      </w:r>
    </w:p>
    <w:p>
      <w:pPr>
        <w:pStyle w:val="cn"/>
        <w:ind w:firstLine="420"/>
        <w:jc w:val="left"/>
      </w:pPr>
      <w:r>
        <w:t>我们研究了自英国脱欧公投以来欧元区投资者的投资组合调整，以英国发行的证券或英镑计价，背景是围绕英国退出欧盟进程的政策不确定性加剧。我们的部门层面分析“审视”投资基金股票的持有情况，以衡量欧元区部门对债务证券和上市股票的全部敞口。我们的关键发现是，欧元区投资者不存在负面的“脱欧效应”，这将使英国发行的和以英镑计价的证券普遍缺乏吸引力。相反，我们观察到，自英国脱欧公投以来，欧元区投资者增加了对英国发行和以英镑计价的债务证券的绝对和相对敞口。分析还显示，欧元区对英国非金融公司发行的上市股票的敞口有所增加，而对英国银行发行的股票的敞口则有所下降。这些发现应该在欧元区债务证券收益率较低以及英国脱欧公投以来股价强劲复苏的背景下得出，这似乎在很大程度上抵消了与脱欧相关的不确定性。</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