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Brexit, what Brexit Euro area portfolio exposures to the United Kingdom since the Brexit referendum</w:t>
      </w:r>
    </w:p>
    <w:p>
      <w:r>
        <w:t>Author:Daniel CarvalhoMartin Schmitz</w:t>
      </w:r>
    </w:p>
    <w:p>
      <w:r>
        <w:t>Date:2022-09-27</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摘要在围绕英国退出欧盟的政策不确定性加剧的背景下，我们研究了自脱欧公投以来，欧元区投资者在英国发行或以英镑计价的证券方面的投资组合调整。我们的部门层面分析“审视”了投资基金股票的持有情况，以衡量欧元区部门对债务证券和上市股票的全部敞口。我们的主要发现是，欧元区投资者不存在负面的“脱欧效应”，这会使英国发行的英镑计价证券的吸引力普遍降低。相反，我们观察到，自脱欧公投以来，欧元区投资者增加了对英国发行和英镑计价债务证券的绝对和相对风险敞口。分析还显示，欧元区对英国非金融公司发行的上市股票的风险敞口有所增加，而对英国银行发行的股票的风险则有所下降。这些发现应该在欧元区债务证券收益率低和英国脱欧公投后股价强劲复苏的背景下看待，这似乎在很大程度上超过了与脱欧相关的不确定性。JEL CodeF30：国际经济学→国际金融→总则F41：国际经济学→国际贸易和金融的宏观经济方面→开放经济宏观经济学G15：金融经济学→一般金融市场→国际金融市场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4~6e4d5a5e1d.en.pdf?a3b6fc0fc41bce0d8c339199d39af266"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