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anatomy of consumption in a household foreign currency debt crisis</w:t>
      </w:r>
    </w:p>
    <w:p>
      <w:r>
        <w:t>Author:Győző GyöngyösiJudit RarigaEmil Verner</w:t>
      </w:r>
    </w:p>
    <w:p>
      <w:r>
        <w:t>Date:2022-09-27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ECB-working_paper</w:t>
        </w:r>
      </w:hyperlink>
    </w:p>
    <w:p>
      <w:pPr>
        <w:pStyle w:val="cn"/>
        <w:ind w:firstLine="200"/>
      </w:pPr>
      <w:r>
        <w:t>家庭如何适应大规模债务冲击？本文研究了匈牙利大幅度贬值期间，家庭对外币家庭债务重估的反应。与类似的本币债务人相比，外币债务人的消费支出减少了约一比一，偿债能力增加，表明流动性受到约束。外币债务人减少了支出的数量和质量，这与非相似偏好和“质量逃逸”相一致。债务重估对劳动力市场地位、工时或收入没有影响，但对外国收入流有一个小的调整，国内生产也有大幅度增加。JEL CodeE21：宏观经济学和货币经济学→消费、储蓄、生产、投资、劳动力市场和非正规经济→消费、储蓄、财富G51：金融经济学J20：劳动与人口经济学→劳动力需求和供给→全体的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/pub/pdf/scpwps/ecb.wp2733~17062c60ab.en.pdf?f8618b042babef1eb8e6fcfda7d6ec09" TargetMode="External"/><Relationship Id="rId10" Type="http://schemas.openxmlformats.org/officeDocument/2006/relationships/hyperlink" Target="https://www.ecb.europa.eu/pub/research/working-papers/html/papers-2022.include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