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低利率和负利率下的消费者储蓄行为</w:t>
      </w:r>
    </w:p>
    <w:p>
      <w:pPr>
        <w:pStyle w:val="cn"/>
        <w:jc w:val="center"/>
      </w:pPr>
      <w:r>
        <w:t>作者:Marco Felici, Geoff Kenny, Roberta Friz</w:t>
      </w:r>
    </w:p>
    <w:p>
      <w:pPr>
        <w:pStyle w:val="cn"/>
        <w:ind w:firstLine="420"/>
        <w:jc w:val="left"/>
      </w:pPr>
      <w:r>
        <w:t>我们研究低利率和负利率对储蓄的传导。利用数据丰富的多国调查中的消费者群体，我们展示了利率传导到储蓄的强度如何随着名义利率水平的变化而变化。当利率高企但在较低水平上稳步下降时，这种反应是积极的。在非常低的水平上，有证据表明储蓄反应甚至可能逆转。这种“储蓄逆转”与货币幻觉的行为证据以及流动性陷阱中政策公告的负面信号效应相一致，并可能削弱极低和负利率的直接刺激效应。与此一致，这种逆转似乎与央行信息冲击有关，并集中在老年消费者和教育程度较低的消费者中。</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