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数字化、机构和治理、增长机制和证据</w:t>
      </w:r>
    </w:p>
    <w:p>
      <w:pPr>
        <w:pStyle w:val="cn"/>
        <w:jc w:val="center"/>
      </w:pPr>
      <w:r>
        <w:t>作者:Vincent Labhard, Jonne Lehtimäki</w:t>
      </w:r>
    </w:p>
    <w:p>
      <w:pPr>
        <w:pStyle w:val="cn"/>
        <w:ind w:firstLine="420"/>
        <w:jc w:val="left"/>
      </w:pPr>
      <w:r>
        <w:t>数字化可以被视为一系列供应和技术冲击，通过生产力和产出、就业和劳动力市场、竞争和市场结构影响经济。本文着重于数字化对经济增长的影响，以及这些影响如何受到制度和治理的影响。它讨论了欧洲和其他国家不同群体的一些理论机制和经验证据。研究结果表明，更好的制度和治理往往与数字技术带来的更大增长促进效应相关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https://www.ecb.europa.eu/pub/research/working-papers/html/papers-2022.include.en.html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