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Consumer savings behaviour at low and negative interest rates</w:t>
      </w:r>
    </w:p>
    <w:p>
      <w:r>
        <w:t>Author:Marco FeliciGeoff KennyRoberta Friz</w:t>
      </w:r>
    </w:p>
    <w:p>
      <w:r>
        <w:t>Date:2022-09-28</w:t>
      </w:r>
    </w:p>
    <w:p>
      <w:r>
        <w:t>Keyword:NA</w:t>
      </w:r>
    </w:p>
    <w:p>
      <w:r>
        <w:t>Attachment:</w:t>
      </w:r>
      <w:hyperlink r:id="rId9">
        <w:r>
          <w:rPr>
            <w:color w:val="0000FF"/>
            <w:u w:val="single"/>
          </w:rPr>
          <w:t>Link</w:t>
        </w:r>
      </w:hyperlink>
    </w:p>
    <w:p>
      <w:r>
        <w:t>From:</w:t>
      </w:r>
      <w:hyperlink r:id="rId10">
        <w:r>
          <w:rPr>
            <w:color w:val="0000FF"/>
            <w:u w:val="single"/>
          </w:rPr>
          <w:t>ECB-working_paper</w:t>
        </w:r>
      </w:hyperlink>
    </w:p>
    <w:p>
      <w:pPr>
        <w:pStyle w:val="cn"/>
        <w:ind w:firstLine="200"/>
      </w:pPr>
      <w:r>
        <w:t>我们研究低利率和负利率下利率对储蓄的传导。利用来自数据丰富的多国调查的消费者群体，我们展示了利率对储蓄的传导强度如何随着名义利率水平的变化而变化。当利率较高但在较低水平稳步下降时，这种反应是积极的。在非常低的水平上，有证据表明储蓄反应甚至可能逆转迹象。这种“储蓄逆转”与货币幻觉的行为证据以及流动性陷阱中政策公告的负面信号效应相一致，并可能削弱非常低和负面利率的直接刺激效应。与此相一致，这种逆转似乎与中央银行的信息冲击有关，并集中于老年消费者和教育程度较低的消费者。JEL CodeD12：微观经济学→家庭行为与家庭经济学→消费经济学：实证分析D84：微观经济学→信息、知识和不确定性→预期、投机E21：宏观经济学和货币经济学→消费、储蓄、生产、投资、劳动力市场和非正规经济→消费、储蓄、财富31：宏观经济学和货币经济学→价格、商业波动和周期→物价水平、通货膨胀、通货紧缩52：宏观经济学和货币经济学→货币政策、中央银行业务、货币和信贷供应→货币政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6~b79d07069c.en.pdf?65b1cbff3cce1e11391359d6d3aaefaa"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