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美联储的信念、总体风险和美国房地产繁荣</w:t>
      </w:r>
    </w:p>
    <w:p>
      <w:pPr>
        <w:pStyle w:val="cn"/>
        <w:jc w:val="center"/>
      </w:pPr>
      <w:r>
        <w:t>作者:Margaret M. Jacobson</w:t>
      </w:r>
    </w:p>
    <w:p>
      <w:pPr>
        <w:pStyle w:val="cn"/>
        <w:ind w:firstLine="420"/>
        <w:jc w:val="left"/>
      </w:pPr>
      <w:r>
        <w:t>对未来房价的内生乐观信念可以解释2000年代美国房地产繁荣时期房价的路径和标准差。在具有不完全市场和总风险的一般均衡模型中，代理人对未来房价形成信念，以应对基本面冲击。在信贷条件宽松的收入扩张中，经纪人更有可能低估房价并修正他们的信念。将标准差与房价的稳步上涨相匹配，会导致在经济繁荣后期买房变得不太容易，消费动态也会与数据相匹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https://www.federalreserve.gov/econres/feds/beliefs-aggregate-risk-and-the-u-s-housing-boom.htm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beliefs-aggregate-risk-and-the-u-s-housing-boo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