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美联储-汽车融资合同的消费者和担保资产保护（GAP保护）</w:t>
      </w:r>
    </w:p>
    <w:p>
      <w:pPr>
        <w:pStyle w:val="cn"/>
        <w:jc w:val="center"/>
      </w:pPr>
      <w:r>
        <w:t>作者:Thomas A. Durkin, Gregory Elliehausen, and Thomas A. Miller, Jr.</w:t>
      </w:r>
    </w:p>
    <w:p>
      <w:pPr>
        <w:pStyle w:val="cn"/>
        <w:ind w:firstLine="420"/>
        <w:jc w:val="left"/>
      </w:pPr>
      <w:r>
        <w:t>担保资产保护（GAP）保护购买者免受车辆全损时损失超过担保抵押品价值的财务风险。然而令人惊讶的是，人们对这种产品的销售情况或消费者对它的态度知之甚少。在这项研究中，我们报告了密歇根大学调查研究中心（SRC）进行的一项代表性全国调查的结果。SRC在2020年秋季采访了1206名个人。这项调查显示，消费者在约39%的融资汽车交易中购买了GAP。当金融风险加剧时，消费者购买GAP的频率更高：信贷金额更大、贷款期限更长、收入水平更低。超过90%的GAP购买者表示，购买GAP是一个好主意，他们会再次购买。只有约1%的受访购买者表示对他们的选择不满意。GAP购买的多元模型表明，消费者的财务状况和交易条件比风险规避本身更重要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https://www.federalreserve.gov/econres/feds/consumers-and-guaranteed-asset-protection-on-vehicle-financing-contracts.htm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consumers-and-guaranteed-asset-protection-on-vehicle-financing-contra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