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Consumers and Guaranteed Asset Protection (GAP Protection) on Vehicle Financing Contracts A First Look</w:t>
      </w:r>
    </w:p>
    <w:p>
      <w:r>
        <w:t>Author:Thomas A. Durkin, Gregory Elliehausen, and Thomas A. Miller, Jr.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FEDS-working_paper</w:t>
        </w:r>
      </w:hyperlink>
    </w:p>
    <w:p>
      <w:pPr>
        <w:pStyle w:val="cn"/>
        <w:ind w:firstLine="200"/>
      </w:pPr>
      <w:r>
        <w:t>2022年9月</w:t>
        <w:br/>
        <w:t>汽车融资合同中的消费者与担保资产保护</w:t>
        <w:br/>
        <w:t>托马斯·杜尔金、格雷戈里·埃利豪森和托马斯·米勒。</w:t>
        <w:br/>
        <w:t>摘要：担保资产保护（GAP）保护购买者免受车辆全损时超过担保抵押品价值的财务风险。然而令人惊讶的是，人们对这种产品的销售情况或消费者的态度知之甚少。在本研究中，我们报告了密歇根大学调查研究中心（SRC）进行的一项具有代表性的全国性调查的结果。SRC在2020年秋季采访了1206人。这项调查显示，消费者在大约39%的融资汽车交易中购买了GAP。当存在更高的财务风险时，消费者购买GAP的频率更高：信用额度更大，贷款期限更长，收入水平更低。超过90%的GAP购买者表示，购买GAP是一个好主意，他们会再次购买。只有约1%的受访购买者表示对自己的选择不满意。GAP购买的多元模型表明，消费者的财务状况和交易条件比风险规避本身更重要。</w:t>
        <w:br/>
        <w:t>内政部：https://doi.org/10.17016/FEDS.2022.062</w:t>
        <w:br/>
        <w:t>PDF格式：</w:t>
        <w:br/>
        <w:t>完整的纸张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files/2022062pap.pdf" TargetMode="External"/><Relationship Id="rId10" Type="http://schemas.openxmlformats.org/officeDocument/2006/relationships/hyperlink" Target="https://www.federalreserve.gov/econres/feds/consumers-and-guaranteed-asset-protection-on-vehicle-financing-contra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