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美联储——从历史角度看风险周期对商业周期的影响</w:t>
      </w:r>
    </w:p>
    <w:p>
      <w:pPr>
        <w:pStyle w:val="cn"/>
        <w:jc w:val="center"/>
      </w:pPr>
      <w:r>
        <w:t>作者:Jon Danielsson, Marcela Valenzuela, and Ilknur Zer</w:t>
      </w:r>
    </w:p>
    <w:p>
      <w:pPr>
        <w:pStyle w:val="cn"/>
        <w:ind w:firstLine="420"/>
        <w:jc w:val="left"/>
      </w:pPr>
      <w:r>
        <w:t>摘要：</w:t>
      </w:r>
    </w:p>
    <w:p>
      <w:pPr>
        <w:pStyle w:val="cn"/>
        <w:ind w:firstLine="420"/>
        <w:jc w:val="left"/>
      </w:pPr>
      <w:r>
        <w:t>自1900年以来，我们使用了一个涵盖73个国家的小组来研究金融风险周期对商业周期的影响。代理人使用贝叶斯学习模型来形成他们的风险信念。我们构建了这些信念的一个代理，并表明感知到的低风险鼓励冒险，以积累金融脆弱性为代价来扩大增长，因此，增长出现逆转。当低风险环境持续存在且信贷增长过度时，这种逆转尤为明显。全球风险周期通过对资本流动、投资和债务发行人质量的影响，对增长的影响大于本地风险周期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https://www.federalreserve.gov/econres/ifdp/the-impact-of-risk-cycles-on-business-cycles-a-historical-view.htm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federalreserve.gov/econres/ifdp/the-impact-of-risk-cycles-on-business-cycles-a-historical-view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