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来自欧元区的通胀预期调查偏差证据</w:t>
      </w:r>
    </w:p>
    <w:p>
      <w:pPr>
        <w:pStyle w:val="cn"/>
        <w:jc w:val="center"/>
      </w:pPr>
      <w:r>
        <w:t>作者:Jiaqian Chen;Lucyna Gornicka;Vaclav Zdarek</w:t>
      </w:r>
    </w:p>
    <w:p>
      <w:pPr>
        <w:pStyle w:val="cn"/>
        <w:ind w:firstLine="400"/>
        <w:jc w:val="left"/>
      </w:pPr>
      <w:r>
        <w:t>本文记录了欧元区通货膨胀预期的五个事实。首先，个人通胀预测对个人消息反应过度。其次，个人通胀预测的横截面平均值最初对冲击反应不足，但中期反应过度。第三，当当前通胀率较高时，人们对未来通胀率会因新闻而上升，而当通胀率较低时，则会因预期的零下限而下降。第四，全球金融危机（GFC）后，个人通胀预测对消息的过度反应加剧。第五，在全球金融危机后，欧元区的平均预期（和实际通胀）对冲击的反应变得更加温和，但在美国却没有。</w:t>
      </w:r>
    </w:p>
    <w:p/>
    <w:p/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https://www.imf.org/en/Publications/WP/Issues/2022/09/30/Biases-in-Survey-Inflation-Expectations-Evidence-from-the-Euro-Area-513697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imf.org/en/Publications/WP/Issues/2022/09/30/Biases-in-Survey-Inflation-Expectations-Evidence-from-the-Euro-Area-5136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