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三级城市的故事</w:t>
      </w:r>
    </w:p>
    <w:p>
      <w:pPr>
        <w:pStyle w:val="cn"/>
        <w:jc w:val="center"/>
      </w:pPr>
      <w:r>
        <w:t>作者:Kenneth S. Rogoff, Yuanchen Yang</w:t>
      </w:r>
    </w:p>
    <w:p>
      <w:pPr>
        <w:pStyle w:val="cn"/>
        <w:ind w:firstLine="420"/>
        <w:jc w:val="left"/>
      </w:pPr>
      <w:r>
        <w:t>本文提供了中国各城市层住房存量、建筑率和价格发展的新估计，以了解过剩供应可能集中在哪里，以及任何重大收缩的影响。我们还更新了到2021中国快速发展的房地产行业规模的估计，使我们能够了解新冠肺炎的初始影响，并将分析扩展到与城市扩张相关的基础设施建设。我们认为，中国总体上面临着住房存量供需失衡的问题，但在规模较小、收入较低的三线城市，问题更为严重，尽管如此，三线城市仍占中国GDP和住房存量的60%以上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https://www.nber.org/papers/w30519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