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供应链灾难的宏观经济和资产定价效应</w:t>
      </w:r>
    </w:p>
    <w:p>
      <w:pPr>
        <w:pStyle w:val="cn"/>
        <w:jc w:val="center"/>
      </w:pPr>
      <w:r>
        <w:t>作者:Vladimir Smirnyagin, Aleh Tsyvinski</w:t>
      </w:r>
    </w:p>
    <w:p>
      <w:pPr>
        <w:pStyle w:val="cn"/>
        <w:ind w:firstLine="420"/>
        <w:jc w:val="left"/>
      </w:pPr>
      <w:r>
        <w:t>我们构建了一个具有异质公司的基于生产的一般均衡资产定价模型，该模型共同考虑了近期宏观经济文献强调的公司层面和总体事实，以及重要的资产定价时刻。利用行政公司层面的数据，我们建立了大型负面特质冲击及其演变的经验性质。然后我们证明，这些冲击对提供宏观经济和资产定价预测起着重要作用。最后，我们将我们的模型与2007年以来美国海运进口的数据相结合，确定了供应链灾难对资产价格横截面的重要性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https://www.nber.org/papers/w30503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