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全球货币和金融溢出——来自德国央行政策冲击新措施的证据</w:t>
      </w:r>
    </w:p>
    <w:p>
      <w:pPr>
        <w:pStyle w:val="cn"/>
        <w:jc w:val="center"/>
      </w:pPr>
      <w:r>
        <w:t>作者:James Cloyne, Patrick Hürtgen, Alan M. Taylor</w:t>
      </w:r>
    </w:p>
    <w:p>
      <w:pPr>
        <w:pStyle w:val="cn"/>
        <w:ind w:firstLine="420"/>
        <w:jc w:val="left"/>
      </w:pPr>
      <w:r>
        <w:t>识别货币政策的外部变化对于调查央行政策传导至关重要。使用德国联邦银行中央银行理事会利用的最新收集的实时档案数据，我们从1974年至1998年的580次政策会议中发现了德国货币政策的意外变化。德国货币政策冲击对德国国内经济产生了常规影响：货币紧缩后，活动、价格和信贷大幅下降。但考虑到德国在欧洲货币体系（EMS）中的核心作用，我们还可以阐明关于货币政策国际传导的辩论，以及这些年来美国联邦储备委员会（Fed）在全球周期中的相对重要性。我们发现，德国央行的政策溢出效应在与德国马克挂钩的主要EMS经济体中比在浮动汇率的非EMS经济体内强得多。此外，与美国的货币溢出相比，德国的溢出在数量上与钉住汇率和浮动汇率相当，甚至更大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https://www.nber.org/papers/w30485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