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全球采购和跨国活动——统一方法</w:t>
      </w:r>
    </w:p>
    <w:p>
      <w:pPr>
        <w:pStyle w:val="cn"/>
        <w:jc w:val="center"/>
      </w:pPr>
      <w:r>
        <w:t>作者:Pol Antràs, Evgenii Fadeev, Teresa C. Fort, Felix Tintelnot</w:t>
      </w:r>
    </w:p>
    <w:p>
      <w:pPr>
        <w:pStyle w:val="cn"/>
        <w:ind w:firstLine="420"/>
        <w:jc w:val="left"/>
      </w:pPr>
      <w:r>
        <w:t>2007年，跨国公司（MNE）占美国制造业就业的42%，美国进口的87%，美国出口的84%。尽管跨国公司在全球贸易中所占份额不成比例，但跨国公司的投入来源和最终的良好生产决策通常是分开研究的。使用新合并的各国企业贸易和外国直接投资活动数据，我们表明，美国跨国公司不仅更有可能从其拥有附属公司的国家进口，而且更有可能从附属公司所在地区的其他国家进口。我们在一个统一的框架中合理化了这些模式，在这个框架中，企业共同确定生产最终产品的国家和输入来源的国家。该模型产生了新的规模经济来源，这是因为一家公司产生了特定于国家的固定成本，使其所有装配厂都能从该国获取投入。这种跨工厂的共享固定成本在企业的装配和采购地点之间产生了相互依赖性，并导致第三市场对双边贸易成本变化的非单调响应。</w:t>
      </w:r>
    </w:p>
    <w:p/>
    <w:p>
      <w:pPr>
        <w:pStyle w:val="cn"/>
        <w:jc w:val="left"/>
      </w:pPr>
      <w:r>
        <w:rPr>
          <w:b/>
        </w:rPr>
        <w:t>原文链接:</w:t>
        <w:br/>
      </w:r>
      <w:hyperlink r:id="rId9">
        <w:r>
          <w:rPr>
            <w:color w:val="0000FF"/>
            <w:u w:val="single"/>
          </w:rPr>
          <w:t>https://www.nber.org/papers/w30450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