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公共财政视角下的中国工业用地贴现</w:t>
      </w:r>
    </w:p>
    <w:p>
      <w:pPr>
        <w:pStyle w:val="cn"/>
        <w:jc w:val="center"/>
      </w:pPr>
      <w:r>
        <w:t>作者:Zhiguo He, Scott T. Nelson, Yang Su, Anthony Lee Zhang, Fudong Zhang</w:t>
      </w:r>
    </w:p>
    <w:p>
      <w:pPr>
        <w:pStyle w:val="cn"/>
        <w:ind w:firstLine="420"/>
        <w:jc w:val="left"/>
      </w:pPr>
      <w:r>
        <w:t>中国土地市场的特点是大幅的工业折扣：工业用地比住宅用地便宜一个数量级。与以补贴工业或促进工业增长为中心的解释相反，我们强调了未来土地税收的重要性，并发现地方公共财政激励可以在很大程度上合理化这种价格差距。在“土地财政”制度下，土地销售是中国地方政府的重要收入来源。我们表明，在中国，地方政府作为垄断性土地卖方，在供应住宅或工业用地之间面临权衡，这取决于工业用地和住宅用地销售收入的不同时间分布、地方政府的财政约束以及地方政府与其他级别政府分享税收的程度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https://www.nber.org/papers/w30504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