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关于工资设定和集体谈判的事实和幻想</w:t>
      </w:r>
    </w:p>
    <w:p>
      <w:pPr>
        <w:pStyle w:val="cn"/>
        <w:jc w:val="center"/>
      </w:pPr>
      <w:r>
        <w:t>作者:Manudeep Bhuller, Karl O. Moene, Magne Mogstad, Ola L. Vestad</w:t>
      </w:r>
    </w:p>
    <w:p>
      <w:pPr>
        <w:pStyle w:val="cn"/>
        <w:ind w:firstLine="420"/>
        <w:jc w:val="left"/>
      </w:pPr>
      <w:r>
        <w:t>在这篇文章中，我们记录并讨论了经合组织国家集体谈判制度的显著特征，目的是揭穿一些误解和神话，并重振人们对工资制定和集体谈判的普遍兴趣。我们希望，这种兴趣可能有助于缩小经济学家倾向于对工资设定进行建模与实际设定工资之间的差距。竞争性劳动力市场、垄断、搜索和匹配的典型模型都假定了一个分散的工资环境，由各个公司和工人决定工资。然而，在大多数发达经济体中，公司或雇主协会与工会就工资进行谈判，形成集体谈判制度是很常见的。我们表明，发达经济体在集体谈判的范围和结构方面，这些制度的特点各有不同。</w:t>
      </w:r>
    </w:p>
    <w:p/>
    <w:p>
      <w:pPr>
        <w:pStyle w:val="cn"/>
        <w:jc w:val="left"/>
      </w:pPr>
      <w:r>
        <w:rPr>
          <w:b/>
        </w:rPr>
        <w:t>原文链接:</w:t>
        <w:br/>
      </w:r>
      <w:hyperlink r:id="rId9">
        <w:r>
          <w:rPr>
            <w:color w:val="0000FF"/>
            <w:u w:val="single"/>
          </w:rPr>
          <w:t>https://www.nber.org/papers/w30437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