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印度尼西亚高速公路的道路维护和地方经济发展证据</w:t>
      </w:r>
    </w:p>
    <w:p>
      <w:pPr>
        <w:pStyle w:val="cn"/>
        <w:jc w:val="center"/>
      </w:pPr>
      <w:r>
        <w:t>作者:Paul Gertler, Marco Gonzalez-Navarro, Tadeja Gracner, Alexander D. Rothenberg</w:t>
      </w:r>
    </w:p>
    <w:p>
      <w:pPr>
        <w:pStyle w:val="cn"/>
        <w:ind w:firstLine="420"/>
        <w:jc w:val="left"/>
      </w:pPr>
      <w:r>
        <w:t>本文估计了道路维护投资对当地福利的影响。我们利用印度尼西亚的两步预算流程，向地方公路当局分配资金，来衡量道路质量。使用1990-2007年道路质量的综合数据，我们发现更好的道路有助于制造商创造新的就业机会，使工人摆脱非正规就业，并提高工资。就生活成本而言，道路质量降低了易腐食品价格，但也提高了房价。我们估计家庭福利相对于道路质量的弹性为0.16，道路维护投资的收益/成本比为2.8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https://www.nber.org/papers/w30454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