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司法独立、地方保护主义与经济一体化——来自中国的证据</w:t>
      </w:r>
    </w:p>
    <w:p>
      <w:pPr>
        <w:pStyle w:val="cn"/>
        <w:jc w:val="center"/>
      </w:pPr>
      <w:r>
        <w:t>作者:Ernest Liu, Yi Lu, Wenwei Peng, Shaoda Wang</w:t>
      </w:r>
    </w:p>
    <w:p>
      <w:pPr>
        <w:pStyle w:val="cn"/>
        <w:ind w:firstLine="420"/>
        <w:jc w:val="left"/>
      </w:pPr>
      <w:r>
        <w:t>我们表明，司法独立可以减少地方保护主义，促进跨区域经济一体化。我们利用了自2014年以来错峰展开的中国司法独立改革。改革取消了地方政府对地方法院财务和人事决定的控制，从而大大提高了地方法院的独立性。结合民事诉讼和商业登记记录领域的新数据，我们发现，改革后，本地被告对非本地原告的胜诉率下降了7.0%。这种影响主要是由司法判决质量的提高所推动的，对于有政治背景的当地被告来说更为明显。随着时间的推移，地方保护主义的减少鼓励较小的非本地公司对较大的本地公司提起诉讼。使用从商业登记记录中提取的持股网络，我们发现，地方保护主义的减少可能会吸引8.4%的外来投资流入改革后的地方。当司法独立改革在全国范围内实施时，这有可能使中国的GDP增长2.3%。</w:t>
      </w:r>
    </w:p>
    <w:p/>
    <w:p>
      <w:pPr>
        <w:pStyle w:val="cn"/>
        <w:jc w:val="left"/>
      </w:pPr>
      <w:r>
        <w:rPr>
          <w:b/>
        </w:rPr>
        <w:t>原文链接:</w:t>
        <w:br/>
      </w:r>
      <w:hyperlink r:id="rId9">
        <w:r>
          <w:rPr>
            <w:color w:val="0000FF"/>
            <w:u w:val="single"/>
          </w:rPr>
          <w:t>https://www.nber.org/papers/w30432</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