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商业周期中的实时前瞻性偏差</w:t>
      </w:r>
    </w:p>
    <w:p>
      <w:pPr>
        <w:pStyle w:val="cn"/>
        <w:jc w:val="center"/>
      </w:pPr>
      <w:r>
        <w:t>作者:Ian Dew-Becker</w:t>
      </w:r>
    </w:p>
    <w:p>
      <w:pPr>
        <w:pStyle w:val="cn"/>
        <w:ind w:firstLine="420"/>
        <w:jc w:val="left"/>
      </w:pPr>
      <w:r>
        <w:t>本文测量了1980至2021期间单个公司和整个股市的期权隐含偏度，给出了条件微观和宏观偏度的实时测量。有三个关键结果：1.微观偏斜是显著的顺周期的，而宏观偏斜是非周期的；2.微观偏斜引领商业周期，并与信贷利差密切相关，这表明一个潜在的因果渠道；3.微观偏斜与宏观波动显著相关，而非机械相关，这意味着两者都受到共同的冲击，这也与商业周期有关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https://www.nber.org/papers/w30478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