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国外需求对生产网络的冲击——企业反应和工人影响</w:t>
      </w:r>
    </w:p>
    <w:p>
      <w:pPr>
        <w:pStyle w:val="cn"/>
        <w:jc w:val="center"/>
      </w:pPr>
      <w:r>
        <w:t>作者:Emmanuel Dhyne, Ayumu Ken Kikkawa, Toshiaki Komatsu, Magne Mogstad, Felix Tintelnot</w:t>
      </w:r>
    </w:p>
    <w:p>
      <w:pPr>
        <w:pStyle w:val="cn"/>
        <w:ind w:firstLine="420"/>
        <w:jc w:val="left"/>
      </w:pPr>
      <w:r>
        <w:t>我们量化并解释了国外需求冲击对国内生产网络的企业反应和工人影响。为了了解企业可能通过向进出口的国内企业购买或出售产品而间接受到此类冲击，我们使用比利时数据以及国内企业对企业销售和对外贸易交易的信息。我们对企业反应的估计表明，比利时企业将国外需求冲击的很大一部分转嫁给了国内供应商，面临着向上倾斜的劳动力供应曲线，并且在劳动力方面有相当大的固定间接成本。在这些发现的激励和指导下，我们开发并估计了一个均衡模型，该模型允许我们研究外国需求的特殊和总体变化如何通过小型开放经济传播并影响企业和工人。我们的结果表明，在现有的关于无固定成本和完全弹性劳动力供应的外国需求冲击的研究中，劳动力市场的典型建模方式会严重低估由于外国关税增加而导致的实际工资下降。</w:t>
      </w:r>
    </w:p>
    <w:p/>
    <w:p>
      <w:pPr>
        <w:pStyle w:val="cn"/>
        <w:jc w:val="left"/>
      </w:pPr>
      <w:r>
        <w:rPr>
          <w:b/>
        </w:rPr>
        <w:t>原文链接:</w:t>
        <w:br/>
      </w:r>
      <w:hyperlink r:id="rId9">
        <w:r>
          <w:rPr>
            <w:color w:val="0000FF"/>
            <w:u w:val="single"/>
          </w:rPr>
          <w:t>https://www.nber.org/papers/w30447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