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奴隶制与英国工业革命</w:t>
      </w:r>
    </w:p>
    <w:p>
      <w:pPr>
        <w:pStyle w:val="cn"/>
        <w:jc w:val="center"/>
      </w:pPr>
      <w:r>
        <w:t>作者:Stephan Heblich, Stephen J. Redding, Hans-Joachim Voth</w:t>
      </w:r>
    </w:p>
    <w:p>
      <w:pPr>
        <w:pStyle w:val="cn"/>
        <w:ind w:firstLine="420"/>
        <w:jc w:val="left"/>
      </w:pPr>
      <w:r>
        <w:t>英国人持有海外奴隶是否加速了工业革命？我们提供了关于1835年前奴隶财富对英国经济增长贡献的理论和证据。我们使用补偿记录中的财富细粒数据，比较了英国受殖民种植园经济影响程度高和低的地区。在1640年代开始大规模扩张奴隶持有之前，这两类地区的经济活动水平相似。然而，到了19世纪30年代，奴隶制财富与经济发展密切相关——奴隶制地区农业程度较低，距离棉纺厂较近，财产财富较高。我们使用动态空间模型对这些发现进行了合理化，其中奴隶制投资提高了资本积累的回报，扩大了资本密集型部门的生产。为了确定因果关系，我们使用了由天气冲击驱动的从非洲到印度的奴隶死亡率的外生变化。我们表明，天气冲击影响了祖先继续参与奴隶贸易；每个地区的奴隶贸易祖先因天气导致的奴隶死亡都是1833年奴隶主的有力预测。使用观测数据对我们的模型进行量化，我们发现如果没有海外奴隶财富，英国会更加贫穷和农业化。总体而言，我们的发现与奴隶制财富加速英国工业革命的观点一致。</w:t>
      </w:r>
    </w:p>
    <w:p/>
    <w:p>
      <w:pPr>
        <w:pStyle w:val="cn"/>
        <w:jc w:val="left"/>
      </w:pPr>
      <w:r>
        <w:rPr>
          <w:b/>
        </w:rPr>
        <w:t>原文链接:</w:t>
        <w:br/>
      </w:r>
      <w:hyperlink r:id="rId9">
        <w:r>
          <w:rPr>
            <w:color w:val="0000FF"/>
            <w:u w:val="single"/>
          </w:rPr>
          <w:t>https://www.nber.org/papers/w30451</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n">
    <w:name w:val="cn"/>
    <w:rPr>
      <w:rFonts w:ascii="微软雅黑" w:hAnsi="微软雅黑" w:eastAsia="微软雅黑"/>
      <w:sz w:val="2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papers/w3045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