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巩固物价通胀</w:t>
      </w:r>
    </w:p>
    <w:p>
      <w:pPr>
        <w:pStyle w:val="cn"/>
        <w:jc w:val="center"/>
      </w:pPr>
      <w:r>
        <w:t>作者:Philip Bunn, Lena S. Anayi, Nicholas Bloom, Paul Mizen, Gregory Thwaites, Ivan Yotzov</w:t>
      </w:r>
    </w:p>
    <w:p>
      <w:pPr>
        <w:pStyle w:val="cn"/>
        <w:ind w:firstLine="420"/>
        <w:jc w:val="left"/>
      </w:pPr>
      <w:r>
        <w:t>我们使用对英国公司进行的一项大型小组调查的数据，分析自新冠肺炎大流行以来价格制定的经济驱动因素。通货膨胀对需求变化的反应是不对称的。这有助于解释为什么在最初的负的大流行需求冲击期间通货膨胀没有下降多少。能源价格以及劳动力和材料短缺是反弹期间上涨的主要原因。自大流行开始以来，各公司的通货膨胀率变得更加分散和扭曲。我们发现，平均价格通胀和分布的分散性和偏度正相关。最后，我们还介绍了一种新的企业内部主观通货膨胀不确定性的测量方法，并展示了这种不确定性在大流行期间是如何增加的，在2022年销售不确定性回落的情况下仍继续上升。</w:t>
      </w:r>
    </w:p>
    <w:p/>
    <w:p>
      <w:pPr>
        <w:pStyle w:val="cn"/>
        <w:jc w:val="left"/>
      </w:pPr>
      <w:r>
        <w:rPr>
          <w:b/>
        </w:rPr>
        <w:t>原文链接:</w:t>
        <w:br/>
      </w:r>
      <w:hyperlink r:id="rId9">
        <w:r>
          <w:rPr>
            <w:color w:val="0000FF"/>
            <w:u w:val="single"/>
          </w:rPr>
          <w:t>https://www.nber.org/papers/w30505</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sz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5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